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9150D8">
      <w:pPr>
        <w:pStyle w:val="9"/>
        <w:jc w:val="center"/>
        <w:rPr>
          <w:rFonts w:hint="eastAsia" w:ascii="方正小标宋简体" w:hAnsi="方正小标宋简体" w:eastAsia="方正小标宋简体" w:cs="方正小标宋简体"/>
          <w:b/>
          <w:sz w:val="32"/>
          <w:szCs w:val="32"/>
          <w:lang w:val="en-US" w:eastAsia="zh-CN"/>
        </w:rPr>
      </w:pPr>
      <w:r>
        <w:rPr>
          <w:rFonts w:hint="eastAsia" w:ascii="方正小标宋简体" w:hAnsi="方正小标宋简体" w:eastAsia="方正小标宋简体" w:cs="方正小标宋简体"/>
          <w:b w:val="0"/>
          <w:bCs w:val="0"/>
          <w:sz w:val="32"/>
          <w:szCs w:val="32"/>
          <w:u w:val="single"/>
        </w:rPr>
        <w:t xml:space="preserve">        </w:t>
      </w:r>
      <w:r>
        <w:rPr>
          <w:rFonts w:hint="eastAsia" w:ascii="方正小标宋简体" w:hAnsi="方正小标宋简体" w:eastAsia="方正小标宋简体" w:cs="方正小标宋简体"/>
          <w:b w:val="0"/>
          <w:bCs w:val="0"/>
          <w:sz w:val="32"/>
          <w:szCs w:val="32"/>
        </w:rPr>
        <w:t>学院（部门）</w:t>
      </w:r>
      <w:r>
        <w:rPr>
          <w:rFonts w:hint="eastAsia" w:ascii="方正小标宋简体" w:hAnsi="方正小标宋简体" w:eastAsia="方正小标宋简体" w:cs="方正小标宋简体"/>
          <w:b w:val="0"/>
          <w:bCs w:val="0"/>
          <w:sz w:val="32"/>
          <w:szCs w:val="32"/>
          <w:u w:val="single"/>
          <w:lang w:val="en-US" w:eastAsia="zh-CN"/>
        </w:rPr>
        <w:t xml:space="preserve">          </w:t>
      </w:r>
      <w:r>
        <w:rPr>
          <w:rFonts w:hint="eastAsia" w:ascii="方正小标宋简体" w:hAnsi="方正小标宋简体" w:eastAsia="方正小标宋简体" w:cs="方正小标宋简体"/>
          <w:b w:val="0"/>
          <w:bCs w:val="0"/>
          <w:sz w:val="32"/>
          <w:szCs w:val="32"/>
          <w:u w:val="none"/>
          <w:lang w:val="en-US" w:eastAsia="zh-CN"/>
        </w:rPr>
        <w:t xml:space="preserve"> 项目</w:t>
      </w:r>
      <w:r>
        <w:rPr>
          <w:rFonts w:hint="eastAsia" w:ascii="方正小标宋简体" w:hAnsi="方正小标宋简体" w:eastAsia="方正小标宋简体" w:cs="方正小标宋简体"/>
          <w:b w:val="0"/>
          <w:bCs w:val="0"/>
          <w:sz w:val="32"/>
          <w:szCs w:val="32"/>
        </w:rPr>
        <w:t>采购</w:t>
      </w:r>
      <w:r>
        <w:rPr>
          <w:rFonts w:hint="eastAsia" w:ascii="方正小标宋简体" w:hAnsi="方正小标宋简体" w:eastAsia="方正小标宋简体" w:cs="方正小标宋简体"/>
          <w:b/>
          <w:sz w:val="32"/>
          <w:szCs w:val="32"/>
          <w:lang w:val="en-US" w:eastAsia="zh-CN"/>
        </w:rPr>
        <w:t>方案（货物类）</w:t>
      </w:r>
    </w:p>
    <w:p w14:paraId="75D73EE6">
      <w:pPr>
        <w:pStyle w:val="9"/>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小标宋简体" w:hAnsi="方正小标宋简体" w:eastAsia="方正小标宋简体" w:cs="方正小标宋简体"/>
          <w:b/>
          <w:sz w:val="22"/>
          <w:szCs w:val="22"/>
          <w:lang w:val="en-US" w:eastAsia="zh-CN"/>
        </w:rPr>
      </w:pPr>
    </w:p>
    <w:p w14:paraId="2B235DD1">
      <w:pPr>
        <w:pStyle w:val="9"/>
        <w:jc w:val="left"/>
        <w:rPr>
          <w:rFonts w:hint="eastAsia"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本项目专门面向：1、□ 中小（微）企业   2、□ 小微企业。</w:t>
      </w:r>
    </w:p>
    <w:p w14:paraId="6791F6A0">
      <w:pPr>
        <w:pStyle w:val="9"/>
        <w:jc w:val="left"/>
        <w:rPr>
          <w:rFonts w:hint="eastAsia"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本项目符合以下第</w:t>
      </w:r>
      <w:r>
        <w:rPr>
          <w:rFonts w:hint="eastAsia" w:ascii="仿宋_GB2312" w:hAnsi="仿宋_GB2312" w:eastAsia="仿宋_GB2312" w:cs="仿宋_GB2312"/>
          <w:b/>
          <w:bCs/>
          <w:kern w:val="2"/>
          <w:sz w:val="28"/>
          <w:szCs w:val="28"/>
          <w:u w:val="single"/>
          <w:lang w:val="en-US" w:eastAsia="zh-CN" w:bidi="ar-SA"/>
        </w:rPr>
        <w:t xml:space="preserve">     </w:t>
      </w:r>
      <w:r>
        <w:rPr>
          <w:rFonts w:hint="eastAsia" w:ascii="仿宋_GB2312" w:hAnsi="仿宋_GB2312" w:eastAsia="仿宋_GB2312" w:cs="仿宋_GB2312"/>
          <w:b/>
          <w:bCs/>
          <w:kern w:val="2"/>
          <w:sz w:val="28"/>
          <w:szCs w:val="28"/>
          <w:u w:val="none"/>
          <w:lang w:val="en-US" w:eastAsia="zh-CN" w:bidi="ar-SA"/>
        </w:rPr>
        <w:t>点情形，</w:t>
      </w:r>
      <w:r>
        <w:rPr>
          <w:rFonts w:hint="eastAsia" w:ascii="仿宋_GB2312" w:hAnsi="仿宋_GB2312" w:eastAsia="仿宋_GB2312" w:cs="仿宋_GB2312"/>
          <w:b/>
          <w:bCs/>
          <w:kern w:val="2"/>
          <w:sz w:val="28"/>
          <w:szCs w:val="28"/>
          <w:lang w:val="en-US" w:eastAsia="zh-CN" w:bidi="ar-SA"/>
        </w:rPr>
        <w:t>不专门面向中小（微）企业。</w:t>
      </w:r>
    </w:p>
    <w:p w14:paraId="38B2AC3F">
      <w:pPr>
        <w:pStyle w:val="9"/>
        <w:jc w:val="left"/>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kern w:val="2"/>
          <w:sz w:val="24"/>
          <w:szCs w:val="24"/>
          <w:lang w:val="en-US" w:eastAsia="zh-CN" w:bidi="ar-SA"/>
        </w:rPr>
        <w:t>（一）法律法规和国家有关政策明确规定优先或者应当面向事业单位、社会组织等非企业主体采购的；</w:t>
      </w:r>
    </w:p>
    <w:p w14:paraId="143B936F">
      <w:pPr>
        <w:pStyle w:val="9"/>
        <w:jc w:val="left"/>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kern w:val="2"/>
          <w:sz w:val="24"/>
          <w:szCs w:val="24"/>
          <w:lang w:val="en-US" w:eastAsia="zh-CN" w:bidi="ar-SA"/>
        </w:rPr>
        <w:t>（二）因确需使用不可替代的专利、专有技术，基础设施限制，或者提供特定公共服务等原因，只能从中小企业之外的供应商处采购的；</w:t>
      </w:r>
    </w:p>
    <w:p w14:paraId="51E3F429">
      <w:pPr>
        <w:pStyle w:val="9"/>
        <w:jc w:val="left"/>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kern w:val="2"/>
          <w:sz w:val="24"/>
          <w:szCs w:val="24"/>
          <w:lang w:val="en-US" w:eastAsia="zh-CN" w:bidi="ar-SA"/>
        </w:rPr>
        <w:t>（三）按照本办法规定预留采购份额无法确保充分供应、充分竞争，或者存在可能影响政府采购目标实现的情形；</w:t>
      </w:r>
    </w:p>
    <w:p w14:paraId="52868021">
      <w:pPr>
        <w:pStyle w:val="9"/>
        <w:jc w:val="left"/>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kern w:val="2"/>
          <w:sz w:val="24"/>
          <w:szCs w:val="24"/>
          <w:lang w:val="en-US" w:eastAsia="zh-CN" w:bidi="ar-SA"/>
        </w:rPr>
        <w:t>（四）框架协议采购项目；</w:t>
      </w:r>
    </w:p>
    <w:p w14:paraId="17E833BD">
      <w:pPr>
        <w:pStyle w:val="9"/>
        <w:jc w:val="left"/>
        <w:rPr>
          <w:rFonts w:hint="default"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kern w:val="2"/>
          <w:sz w:val="24"/>
          <w:szCs w:val="24"/>
          <w:lang w:val="en-US" w:eastAsia="zh-CN" w:bidi="ar-SA"/>
        </w:rPr>
        <w:t>（五）省级以上人民政府财政部门规定的其他情形。</w:t>
      </w:r>
    </w:p>
    <w:p w14:paraId="4BFC60F4">
      <w:pPr>
        <w:pStyle w:val="10"/>
        <w:keepNext w:val="0"/>
        <w:keepLines w:val="0"/>
        <w:pageBreakBefore w:val="0"/>
        <w:numPr>
          <w:ilvl w:val="0"/>
          <w:numId w:val="1"/>
        </w:numPr>
        <w:kinsoku/>
        <w:wordWrap/>
        <w:overflowPunct/>
        <w:topLinePunct w:val="0"/>
        <w:autoSpaceDE/>
        <w:autoSpaceDN/>
        <w:bidi w:val="0"/>
        <w:adjustRightInd/>
        <w:snapToGrid/>
        <w:spacing w:line="520" w:lineRule="exact"/>
        <w:ind w:firstLineChars="0"/>
        <w:textAlignment w:val="auto"/>
        <w:rPr>
          <w:rFonts w:hint="eastAsia"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采购项目（可添加行）</w:t>
      </w:r>
    </w:p>
    <w:tbl>
      <w:tblPr>
        <w:tblStyle w:val="7"/>
        <w:tblW w:w="0" w:type="auto"/>
        <w:tblInd w:w="4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7"/>
        <w:gridCol w:w="1219"/>
        <w:gridCol w:w="600"/>
        <w:gridCol w:w="595"/>
        <w:gridCol w:w="1195"/>
        <w:gridCol w:w="1365"/>
        <w:gridCol w:w="1290"/>
        <w:gridCol w:w="1173"/>
      </w:tblGrid>
      <w:tr w14:paraId="2B868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57" w:type="dxa"/>
            <w:vAlign w:val="center"/>
          </w:tcPr>
          <w:p w14:paraId="40955EF2">
            <w:pPr>
              <w:pStyle w:val="10"/>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序号</w:t>
            </w:r>
          </w:p>
        </w:tc>
        <w:tc>
          <w:tcPr>
            <w:tcW w:w="1219" w:type="dxa"/>
            <w:vAlign w:val="center"/>
          </w:tcPr>
          <w:p w14:paraId="763AC2A0">
            <w:pPr>
              <w:pStyle w:val="10"/>
              <w:ind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名称</w:t>
            </w:r>
          </w:p>
        </w:tc>
        <w:tc>
          <w:tcPr>
            <w:tcW w:w="600" w:type="dxa"/>
            <w:vAlign w:val="center"/>
          </w:tcPr>
          <w:p w14:paraId="7A42637F">
            <w:pPr>
              <w:pStyle w:val="10"/>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数量</w:t>
            </w:r>
          </w:p>
        </w:tc>
        <w:tc>
          <w:tcPr>
            <w:tcW w:w="595" w:type="dxa"/>
            <w:vAlign w:val="center"/>
          </w:tcPr>
          <w:p w14:paraId="4E1AB46A">
            <w:pPr>
              <w:pStyle w:val="10"/>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w:t>
            </w:r>
          </w:p>
        </w:tc>
        <w:tc>
          <w:tcPr>
            <w:tcW w:w="1195" w:type="dxa"/>
            <w:vAlign w:val="center"/>
          </w:tcPr>
          <w:p w14:paraId="711B7395">
            <w:pPr>
              <w:pStyle w:val="10"/>
              <w:ind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预算</w:t>
            </w:r>
            <w:r>
              <w:rPr>
                <w:rFonts w:hint="eastAsia" w:ascii="仿宋_GB2312" w:hAnsi="仿宋_GB2312" w:eastAsia="仿宋_GB2312" w:cs="仿宋_GB2312"/>
                <w:sz w:val="24"/>
                <w:szCs w:val="24"/>
                <w:lang w:val="en-US" w:eastAsia="zh-CN"/>
              </w:rPr>
              <w:t>单价</w:t>
            </w:r>
          </w:p>
        </w:tc>
        <w:tc>
          <w:tcPr>
            <w:tcW w:w="1365" w:type="dxa"/>
            <w:vAlign w:val="center"/>
          </w:tcPr>
          <w:p w14:paraId="22626DD2">
            <w:pPr>
              <w:pStyle w:val="10"/>
              <w:ind w:firstLine="0" w:firstLineChars="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预算总价</w:t>
            </w:r>
          </w:p>
        </w:tc>
        <w:tc>
          <w:tcPr>
            <w:tcW w:w="1290" w:type="dxa"/>
            <w:vAlign w:val="center"/>
          </w:tcPr>
          <w:p w14:paraId="6F8E7ECC">
            <w:pPr>
              <w:pStyle w:val="10"/>
              <w:ind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所属行业</w:t>
            </w:r>
          </w:p>
        </w:tc>
        <w:tc>
          <w:tcPr>
            <w:tcW w:w="1173" w:type="dxa"/>
            <w:vAlign w:val="center"/>
          </w:tcPr>
          <w:p w14:paraId="1D412E58">
            <w:pPr>
              <w:pStyle w:val="10"/>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合计</w:t>
            </w:r>
          </w:p>
        </w:tc>
      </w:tr>
      <w:tr w14:paraId="41071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57" w:type="dxa"/>
            <w:vAlign w:val="center"/>
          </w:tcPr>
          <w:p w14:paraId="76922498">
            <w:pPr>
              <w:pStyle w:val="10"/>
              <w:ind w:firstLine="0" w:firstLineChars="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219" w:type="dxa"/>
          </w:tcPr>
          <w:p w14:paraId="33ED74C5">
            <w:pPr>
              <w:pStyle w:val="10"/>
              <w:ind w:firstLine="0" w:firstLineChars="0"/>
              <w:rPr>
                <w:rFonts w:hint="eastAsia" w:ascii="仿宋_GB2312" w:hAnsi="仿宋_GB2312" w:eastAsia="仿宋_GB2312" w:cs="仿宋_GB2312"/>
                <w:sz w:val="28"/>
                <w:szCs w:val="28"/>
              </w:rPr>
            </w:pPr>
          </w:p>
        </w:tc>
        <w:tc>
          <w:tcPr>
            <w:tcW w:w="600" w:type="dxa"/>
          </w:tcPr>
          <w:p w14:paraId="14ADEEE0">
            <w:pPr>
              <w:pStyle w:val="10"/>
              <w:ind w:firstLine="0" w:firstLineChars="0"/>
              <w:rPr>
                <w:rFonts w:hint="eastAsia" w:ascii="仿宋_GB2312" w:hAnsi="仿宋_GB2312" w:eastAsia="仿宋_GB2312" w:cs="仿宋_GB2312"/>
                <w:sz w:val="28"/>
                <w:szCs w:val="28"/>
              </w:rPr>
            </w:pPr>
          </w:p>
        </w:tc>
        <w:tc>
          <w:tcPr>
            <w:tcW w:w="595" w:type="dxa"/>
          </w:tcPr>
          <w:p w14:paraId="3706F18E">
            <w:pPr>
              <w:pStyle w:val="10"/>
              <w:ind w:firstLine="0" w:firstLineChars="0"/>
              <w:rPr>
                <w:rFonts w:hint="eastAsia" w:ascii="仿宋_GB2312" w:hAnsi="仿宋_GB2312" w:eastAsia="仿宋_GB2312" w:cs="仿宋_GB2312"/>
                <w:sz w:val="28"/>
                <w:szCs w:val="28"/>
              </w:rPr>
            </w:pPr>
          </w:p>
        </w:tc>
        <w:tc>
          <w:tcPr>
            <w:tcW w:w="1195" w:type="dxa"/>
          </w:tcPr>
          <w:p w14:paraId="42997974">
            <w:pPr>
              <w:pStyle w:val="10"/>
              <w:ind w:firstLine="0" w:firstLineChars="0"/>
              <w:rPr>
                <w:rFonts w:hint="eastAsia" w:ascii="仿宋_GB2312" w:hAnsi="仿宋_GB2312" w:eastAsia="仿宋_GB2312" w:cs="仿宋_GB2312"/>
                <w:sz w:val="28"/>
                <w:szCs w:val="28"/>
              </w:rPr>
            </w:pPr>
          </w:p>
        </w:tc>
        <w:tc>
          <w:tcPr>
            <w:tcW w:w="1365" w:type="dxa"/>
          </w:tcPr>
          <w:p w14:paraId="3B0F0858">
            <w:pPr>
              <w:pStyle w:val="10"/>
              <w:ind w:firstLine="0" w:firstLineChars="0"/>
              <w:rPr>
                <w:rFonts w:hint="eastAsia" w:ascii="仿宋_GB2312" w:hAnsi="仿宋_GB2312" w:eastAsia="仿宋_GB2312" w:cs="仿宋_GB2312"/>
                <w:sz w:val="28"/>
                <w:szCs w:val="28"/>
              </w:rPr>
            </w:pPr>
          </w:p>
        </w:tc>
        <w:tc>
          <w:tcPr>
            <w:tcW w:w="1290" w:type="dxa"/>
          </w:tcPr>
          <w:p w14:paraId="5582E644">
            <w:pPr>
              <w:pStyle w:val="10"/>
              <w:ind w:firstLine="0" w:firstLineChars="0"/>
              <w:rPr>
                <w:rFonts w:hint="eastAsia" w:ascii="仿宋_GB2312" w:hAnsi="仿宋_GB2312" w:eastAsia="仿宋_GB2312" w:cs="仿宋_GB2312"/>
                <w:sz w:val="28"/>
                <w:szCs w:val="28"/>
              </w:rPr>
            </w:pPr>
          </w:p>
        </w:tc>
        <w:tc>
          <w:tcPr>
            <w:tcW w:w="1173" w:type="dxa"/>
            <w:vMerge w:val="restart"/>
          </w:tcPr>
          <w:p w14:paraId="1D22D20B">
            <w:pPr>
              <w:pStyle w:val="10"/>
              <w:ind w:firstLine="0" w:firstLineChars="0"/>
              <w:rPr>
                <w:rFonts w:hint="eastAsia" w:ascii="仿宋_GB2312" w:hAnsi="仿宋_GB2312" w:eastAsia="仿宋_GB2312" w:cs="仿宋_GB2312"/>
                <w:sz w:val="28"/>
                <w:szCs w:val="28"/>
              </w:rPr>
            </w:pPr>
          </w:p>
        </w:tc>
      </w:tr>
      <w:tr w14:paraId="29BAD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657" w:type="dxa"/>
            <w:vAlign w:val="center"/>
          </w:tcPr>
          <w:p w14:paraId="77798D52">
            <w:pPr>
              <w:pStyle w:val="10"/>
              <w:ind w:firstLine="0" w:firstLineChars="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219" w:type="dxa"/>
          </w:tcPr>
          <w:p w14:paraId="4D2546B4">
            <w:pPr>
              <w:pStyle w:val="10"/>
              <w:ind w:firstLine="0" w:firstLineChars="0"/>
              <w:rPr>
                <w:rFonts w:hint="eastAsia" w:ascii="仿宋_GB2312" w:hAnsi="仿宋_GB2312" w:eastAsia="仿宋_GB2312" w:cs="仿宋_GB2312"/>
                <w:sz w:val="28"/>
                <w:szCs w:val="28"/>
              </w:rPr>
            </w:pPr>
          </w:p>
        </w:tc>
        <w:tc>
          <w:tcPr>
            <w:tcW w:w="600" w:type="dxa"/>
          </w:tcPr>
          <w:p w14:paraId="4DFBCCB7">
            <w:pPr>
              <w:pStyle w:val="10"/>
              <w:ind w:firstLine="0" w:firstLineChars="0"/>
              <w:rPr>
                <w:rFonts w:hint="eastAsia" w:ascii="仿宋_GB2312" w:hAnsi="仿宋_GB2312" w:eastAsia="仿宋_GB2312" w:cs="仿宋_GB2312"/>
                <w:sz w:val="28"/>
                <w:szCs w:val="28"/>
              </w:rPr>
            </w:pPr>
          </w:p>
        </w:tc>
        <w:tc>
          <w:tcPr>
            <w:tcW w:w="595" w:type="dxa"/>
          </w:tcPr>
          <w:p w14:paraId="302B012C">
            <w:pPr>
              <w:pStyle w:val="10"/>
              <w:ind w:firstLine="0" w:firstLineChars="0"/>
              <w:rPr>
                <w:rFonts w:hint="eastAsia" w:ascii="仿宋_GB2312" w:hAnsi="仿宋_GB2312" w:eastAsia="仿宋_GB2312" w:cs="仿宋_GB2312"/>
                <w:sz w:val="28"/>
                <w:szCs w:val="28"/>
              </w:rPr>
            </w:pPr>
          </w:p>
        </w:tc>
        <w:tc>
          <w:tcPr>
            <w:tcW w:w="1195" w:type="dxa"/>
          </w:tcPr>
          <w:p w14:paraId="5E634282">
            <w:pPr>
              <w:pStyle w:val="10"/>
              <w:ind w:firstLine="0" w:firstLineChars="0"/>
              <w:rPr>
                <w:rFonts w:hint="eastAsia" w:ascii="仿宋_GB2312" w:hAnsi="仿宋_GB2312" w:eastAsia="仿宋_GB2312" w:cs="仿宋_GB2312"/>
                <w:sz w:val="28"/>
                <w:szCs w:val="28"/>
              </w:rPr>
            </w:pPr>
          </w:p>
        </w:tc>
        <w:tc>
          <w:tcPr>
            <w:tcW w:w="1365" w:type="dxa"/>
          </w:tcPr>
          <w:p w14:paraId="1834A09A">
            <w:pPr>
              <w:pStyle w:val="10"/>
              <w:ind w:firstLine="0" w:firstLineChars="0"/>
              <w:rPr>
                <w:rFonts w:hint="eastAsia" w:ascii="仿宋_GB2312" w:hAnsi="仿宋_GB2312" w:eastAsia="仿宋_GB2312" w:cs="仿宋_GB2312"/>
                <w:sz w:val="28"/>
                <w:szCs w:val="28"/>
              </w:rPr>
            </w:pPr>
          </w:p>
        </w:tc>
        <w:tc>
          <w:tcPr>
            <w:tcW w:w="1290" w:type="dxa"/>
          </w:tcPr>
          <w:p w14:paraId="086A7798">
            <w:pPr>
              <w:pStyle w:val="10"/>
              <w:ind w:firstLine="0" w:firstLineChars="0"/>
              <w:rPr>
                <w:rFonts w:hint="eastAsia" w:ascii="仿宋_GB2312" w:hAnsi="仿宋_GB2312" w:eastAsia="仿宋_GB2312" w:cs="仿宋_GB2312"/>
                <w:sz w:val="28"/>
                <w:szCs w:val="28"/>
              </w:rPr>
            </w:pPr>
          </w:p>
        </w:tc>
        <w:tc>
          <w:tcPr>
            <w:tcW w:w="1173" w:type="dxa"/>
            <w:vMerge w:val="continue"/>
          </w:tcPr>
          <w:p w14:paraId="7F30DED2">
            <w:pPr>
              <w:pStyle w:val="10"/>
              <w:ind w:firstLine="0" w:firstLineChars="0"/>
              <w:rPr>
                <w:rFonts w:hint="eastAsia" w:ascii="仿宋_GB2312" w:hAnsi="仿宋_GB2312" w:eastAsia="仿宋_GB2312" w:cs="仿宋_GB2312"/>
                <w:sz w:val="28"/>
                <w:szCs w:val="28"/>
              </w:rPr>
            </w:pPr>
          </w:p>
        </w:tc>
      </w:tr>
    </w:tbl>
    <w:p w14:paraId="5FC47DC6">
      <w:pPr>
        <w:pStyle w:val="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注：若是采购多种设备，请注明核心产品。</w:t>
      </w:r>
    </w:p>
    <w:p w14:paraId="2FD0150B">
      <w:pPr>
        <w:pStyle w:val="9"/>
        <w:keepNext w:val="0"/>
        <w:keepLines w:val="0"/>
        <w:pageBreakBefore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二、货物交付</w:t>
      </w:r>
    </w:p>
    <w:p w14:paraId="5B45FD9B">
      <w:pPr>
        <w:pStyle w:val="9"/>
        <w:keepNext w:val="0"/>
        <w:keepLines w:val="0"/>
        <w:pageBreakBefore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1.交付时间：自合同签订之日起</w:t>
      </w:r>
      <w:r>
        <w:rPr>
          <w:rFonts w:hint="eastAsia" w:ascii="仿宋_GB2312" w:hAnsi="仿宋_GB2312" w:eastAsia="仿宋_GB2312" w:cs="仿宋_GB2312"/>
          <w:kern w:val="2"/>
          <w:sz w:val="28"/>
          <w:szCs w:val="28"/>
          <w:u w:val="single"/>
          <w:lang w:val="en-US" w:eastAsia="zh-CN" w:bidi="ar-SA"/>
        </w:rPr>
        <w:t xml:space="preserve">    </w:t>
      </w:r>
      <w:r>
        <w:rPr>
          <w:rFonts w:hint="eastAsia" w:ascii="仿宋_GB2312" w:hAnsi="仿宋_GB2312" w:eastAsia="仿宋_GB2312" w:cs="仿宋_GB2312"/>
          <w:kern w:val="2"/>
          <w:sz w:val="28"/>
          <w:szCs w:val="28"/>
          <w:u w:val="none"/>
          <w:lang w:val="en-US" w:eastAsia="zh-CN" w:bidi="ar-SA"/>
        </w:rPr>
        <w:t>日</w:t>
      </w:r>
    </w:p>
    <w:p w14:paraId="68DC5EF1">
      <w:pPr>
        <w:pStyle w:val="9"/>
        <w:keepNext w:val="0"/>
        <w:keepLines w:val="0"/>
        <w:pageBreakBefore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2.交付地点：</w:t>
      </w:r>
      <w:r>
        <w:rPr>
          <w:rFonts w:hint="eastAsia" w:ascii="仿宋_GB2312" w:hAnsi="仿宋_GB2312" w:eastAsia="仿宋_GB2312" w:cs="仿宋_GB2312"/>
          <w:kern w:val="2"/>
          <w:sz w:val="28"/>
          <w:szCs w:val="28"/>
          <w:u w:val="single"/>
          <w:lang w:val="en-US" w:eastAsia="zh-CN" w:bidi="ar-SA"/>
        </w:rPr>
        <w:t xml:space="preserve">               </w:t>
      </w:r>
    </w:p>
    <w:p w14:paraId="2E4BE5A5">
      <w:pPr>
        <w:pStyle w:val="9"/>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3.交付条件：</w:t>
      </w:r>
      <w:r>
        <w:rPr>
          <w:rFonts w:hint="eastAsia" w:ascii="仿宋_GB2312" w:hAnsi="仿宋_GB2312" w:eastAsia="仿宋_GB2312" w:cs="仿宋_GB2312"/>
          <w:color w:val="FF0000"/>
          <w:kern w:val="2"/>
          <w:sz w:val="28"/>
          <w:szCs w:val="28"/>
          <w:lang w:val="en-US" w:eastAsia="zh-CN" w:bidi="ar-SA"/>
        </w:rPr>
        <w:t>验收合格后交付。</w:t>
      </w:r>
    </w:p>
    <w:p w14:paraId="006E2BE3">
      <w:pPr>
        <w:pStyle w:val="9"/>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三、性能参数、规格</w:t>
      </w:r>
    </w:p>
    <w:p w14:paraId="52300906">
      <w:pPr>
        <w:pStyle w:val="9"/>
        <w:keepNext w:val="0"/>
        <w:keepLines w:val="0"/>
        <w:pageBreakBefore w:val="0"/>
        <w:numPr>
          <w:ilvl w:val="0"/>
          <w:numId w:val="0"/>
        </w:numPr>
        <w:kinsoku/>
        <w:wordWrap/>
        <w:overflowPunct/>
        <w:topLinePunct w:val="0"/>
        <w:autoSpaceDE/>
        <w:autoSpaceDN/>
        <w:bidi w:val="0"/>
        <w:adjustRightInd/>
        <w:snapToGrid/>
        <w:spacing w:line="520" w:lineRule="exact"/>
        <w:ind w:leftChars="0"/>
        <w:textAlignment w:val="auto"/>
        <w:rPr>
          <w:rFonts w:hint="default" w:ascii="仿宋_GB2312" w:hAnsi="仿宋_GB2312" w:eastAsia="仿宋_GB2312" w:cs="仿宋_GB2312"/>
          <w:b/>
          <w:bCs/>
          <w:kern w:val="2"/>
          <w:sz w:val="28"/>
          <w:szCs w:val="28"/>
          <w:lang w:val="en-US" w:eastAsia="zh-CN" w:bidi="ar-SA"/>
        </w:rPr>
      </w:pPr>
      <w:r>
        <w:rPr>
          <w:rFonts w:hint="default" w:ascii="仿宋_GB2312" w:hAnsi="仿宋_GB2312" w:eastAsia="仿宋_GB2312" w:cs="仿宋_GB2312"/>
          <w:b/>
          <w:bCs/>
          <w:kern w:val="2"/>
          <w:sz w:val="28"/>
          <w:szCs w:val="28"/>
          <w:lang w:val="en-US" w:eastAsia="zh-CN" w:bidi="ar-SA"/>
        </w:rPr>
        <w:t>（根据实际情况填写，可以是表格或文字描述）。</w:t>
      </w:r>
    </w:p>
    <w:p w14:paraId="0709704E">
      <w:pPr>
        <w:pStyle w:val="9"/>
        <w:keepNext w:val="0"/>
        <w:keepLines w:val="0"/>
        <w:pageBreakBefore w:val="0"/>
        <w:numPr>
          <w:ilvl w:val="0"/>
          <w:numId w:val="0"/>
        </w:numPr>
        <w:kinsoku/>
        <w:wordWrap/>
        <w:overflowPunct/>
        <w:topLinePunct w:val="0"/>
        <w:autoSpaceDE/>
        <w:autoSpaceDN/>
        <w:bidi w:val="0"/>
        <w:adjustRightInd/>
        <w:snapToGrid/>
        <w:spacing w:line="520" w:lineRule="exact"/>
        <w:ind w:leftChars="0"/>
        <w:textAlignment w:val="auto"/>
        <w:rPr>
          <w:rFonts w:hint="default" w:ascii="仿宋_GB2312" w:hAnsi="仿宋_GB2312" w:eastAsia="仿宋_GB2312" w:cs="仿宋_GB2312"/>
          <w:b/>
          <w:bCs/>
          <w:kern w:val="2"/>
          <w:sz w:val="28"/>
          <w:szCs w:val="28"/>
          <w:lang w:val="en-US" w:eastAsia="zh-CN" w:bidi="ar-SA"/>
        </w:rPr>
      </w:pPr>
    </w:p>
    <w:p w14:paraId="73765212">
      <w:pPr>
        <w:pStyle w:val="9"/>
        <w:keepNext w:val="0"/>
        <w:keepLines w:val="0"/>
        <w:pageBreakBefore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四、质量保证期及售后服务</w:t>
      </w:r>
    </w:p>
    <w:p w14:paraId="79CDD321">
      <w:pPr>
        <w:pStyle w:val="9"/>
        <w:keepNext w:val="0"/>
        <w:keepLines w:val="0"/>
        <w:pageBreakBefore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1.质量保证期：自验收合格之日起至少</w:t>
      </w:r>
      <w:r>
        <w:rPr>
          <w:rFonts w:hint="eastAsia" w:ascii="仿宋_GB2312" w:hAnsi="仿宋_GB2312" w:eastAsia="仿宋_GB2312" w:cs="仿宋_GB2312"/>
          <w:color w:val="FF0000"/>
          <w:kern w:val="2"/>
          <w:sz w:val="28"/>
          <w:szCs w:val="28"/>
          <w:lang w:val="en-US" w:eastAsia="zh-CN" w:bidi="ar-SA"/>
        </w:rPr>
        <w:t>12个</w:t>
      </w:r>
      <w:r>
        <w:rPr>
          <w:rFonts w:hint="eastAsia" w:ascii="仿宋_GB2312" w:hAnsi="仿宋_GB2312" w:eastAsia="仿宋_GB2312" w:cs="仿宋_GB2312"/>
          <w:kern w:val="2"/>
          <w:sz w:val="28"/>
          <w:szCs w:val="28"/>
          <w:lang w:val="en-US" w:eastAsia="zh-CN" w:bidi="ar-SA"/>
        </w:rPr>
        <w:t>月。</w:t>
      </w:r>
    </w:p>
    <w:p w14:paraId="7EC45D9B">
      <w:pPr>
        <w:pStyle w:val="9"/>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2.售后服务：</w:t>
      </w:r>
    </w:p>
    <w:p w14:paraId="7F37EC28">
      <w:pPr>
        <w:pStyle w:val="9"/>
        <w:keepNext w:val="0"/>
        <w:keepLines w:val="0"/>
        <w:pageBreakBefore w:val="0"/>
        <w:widowControl/>
        <w:kinsoku/>
        <w:wordWrap/>
        <w:overflowPunct/>
        <w:topLinePunct w:val="0"/>
        <w:autoSpaceDE/>
        <w:autoSpaceDN/>
        <w:bidi w:val="0"/>
        <w:adjustRightInd/>
        <w:snapToGrid/>
        <w:spacing w:line="520" w:lineRule="exact"/>
        <w:ind w:firstLine="560" w:firstLineChars="200"/>
        <w:textAlignment w:val="auto"/>
        <w:rPr>
          <w:rFonts w:hint="default" w:ascii="仿宋_GB2312" w:hAnsi="仿宋_GB2312" w:eastAsia="仿宋_GB2312" w:cs="仿宋_GB2312"/>
          <w:color w:val="FF0000"/>
          <w:kern w:val="2"/>
          <w:sz w:val="28"/>
          <w:szCs w:val="28"/>
          <w:lang w:val="en-US" w:eastAsia="zh-CN" w:bidi="ar-SA"/>
        </w:rPr>
      </w:pPr>
      <w:r>
        <w:rPr>
          <w:rFonts w:hint="eastAsia" w:ascii="仿宋_GB2312" w:hAnsi="仿宋_GB2312" w:eastAsia="仿宋_GB2312" w:cs="仿宋_GB2312"/>
          <w:color w:val="FF0000"/>
          <w:kern w:val="2"/>
          <w:sz w:val="28"/>
          <w:szCs w:val="28"/>
          <w:lang w:val="en-US" w:eastAsia="zh-CN" w:bidi="ar-SA"/>
        </w:rPr>
        <w:t>投标时，各投标产品必须注明生产厂家的保修年限(具体产品按照以时间较长的保修年限为准)。在质量保证期内设备运行发生故障时，供应商（厂家）在接到故障通知后快速响应，并免费提供咨询、维修和更换零部件等服务，并及时填写维修报告（包括故障原因、处理情况等）。质量保证期内供应商（厂家）有责任对设备进行不定期的巡查检修。设备保修期过后，承担终身维修服务。</w:t>
      </w:r>
    </w:p>
    <w:p w14:paraId="4E851414">
      <w:pPr>
        <w:pStyle w:val="9"/>
        <w:keepNext w:val="0"/>
        <w:keepLines w:val="0"/>
        <w:pageBreakBefore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五、安装调试、验收及退、换货</w:t>
      </w:r>
    </w:p>
    <w:p w14:paraId="6C5A2917">
      <w:pPr>
        <w:pStyle w:val="9"/>
        <w:keepNext w:val="0"/>
        <w:keepLines w:val="0"/>
        <w:pageBreakBefore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color w:val="FF0000"/>
          <w:kern w:val="2"/>
          <w:sz w:val="28"/>
          <w:szCs w:val="28"/>
          <w:lang w:val="en-US" w:eastAsia="zh-CN" w:bidi="ar-SA"/>
        </w:rPr>
      </w:pPr>
      <w:r>
        <w:rPr>
          <w:rFonts w:hint="eastAsia" w:ascii="仿宋_GB2312" w:hAnsi="仿宋_GB2312" w:eastAsia="仿宋_GB2312" w:cs="仿宋_GB2312"/>
          <w:color w:val="FF0000"/>
          <w:sz w:val="28"/>
          <w:szCs w:val="28"/>
          <w:lang w:val="en-US" w:eastAsia="zh-CN"/>
        </w:rPr>
        <w:t>1.根据招标文件及投标文件响应情况由申购单位组织</w:t>
      </w:r>
      <w:r>
        <w:rPr>
          <w:rFonts w:hint="eastAsia" w:ascii="仿宋_GB2312" w:hAnsi="仿宋_GB2312" w:eastAsia="仿宋_GB2312" w:cs="仿宋_GB2312"/>
          <w:color w:val="FF0000"/>
          <w:sz w:val="28"/>
          <w:szCs w:val="28"/>
        </w:rPr>
        <w:t>验收。最终用户负责货物清点和验收。</w:t>
      </w:r>
      <w:r>
        <w:rPr>
          <w:rFonts w:hint="eastAsia" w:ascii="仿宋_GB2312" w:hAnsi="仿宋_GB2312" w:eastAsia="仿宋_GB2312" w:cs="仿宋_GB2312"/>
          <w:color w:val="FF0000"/>
          <w:sz w:val="28"/>
          <w:szCs w:val="28"/>
          <w:lang w:val="en-US" w:eastAsia="zh-CN"/>
        </w:rPr>
        <w:t>验收应在</w:t>
      </w:r>
      <w:r>
        <w:rPr>
          <w:rFonts w:hint="eastAsia" w:ascii="仿宋_GB2312" w:hAnsi="仿宋_GB2312" w:eastAsia="仿宋_GB2312" w:cs="仿宋_GB2312"/>
          <w:color w:val="FF0000"/>
          <w:sz w:val="28"/>
          <w:szCs w:val="28"/>
        </w:rPr>
        <w:t>货物安装调试完成后十个工作日内验收完毕。如发现物资设备与合同规定不符，采购方有权拒绝接受并向供应商提出索赔。如货物在保证期内被证明存在缺陷，包括潜在的缺陷或使用不合适的材料，采购方有权凭有关证明文件向供应商提出索赔。</w:t>
      </w:r>
    </w:p>
    <w:p w14:paraId="03D64FEE">
      <w:pPr>
        <w:pStyle w:val="9"/>
        <w:keepNext w:val="0"/>
        <w:keepLines w:val="0"/>
        <w:pageBreakBefore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color w:val="FF0000"/>
          <w:kern w:val="2"/>
          <w:sz w:val="28"/>
          <w:szCs w:val="28"/>
          <w:lang w:val="en-US" w:eastAsia="zh-CN" w:bidi="ar-SA"/>
        </w:rPr>
      </w:pPr>
      <w:r>
        <w:rPr>
          <w:rFonts w:hint="eastAsia" w:ascii="仿宋_GB2312" w:hAnsi="仿宋_GB2312" w:eastAsia="仿宋_GB2312" w:cs="仿宋_GB2312"/>
          <w:color w:val="FF0000"/>
          <w:kern w:val="2"/>
          <w:sz w:val="28"/>
          <w:szCs w:val="28"/>
          <w:lang w:val="en-US" w:eastAsia="zh-CN" w:bidi="ar-SA"/>
        </w:rPr>
        <w:t>2.退、换货：</w:t>
      </w:r>
      <w:r>
        <w:rPr>
          <w:rFonts w:hint="eastAsia" w:ascii="仿宋_GB2312" w:hAnsi="仿宋_GB2312" w:eastAsia="仿宋_GB2312" w:cs="仿宋_GB2312"/>
          <w:color w:val="FF0000"/>
          <w:kern w:val="2"/>
          <w:sz w:val="28"/>
          <w:szCs w:val="28"/>
          <w:u w:val="single"/>
          <w:lang w:val="en-US" w:eastAsia="zh-CN" w:bidi="ar-SA"/>
        </w:rPr>
        <w:t xml:space="preserve">           </w:t>
      </w:r>
    </w:p>
    <w:p w14:paraId="17CCA4BF">
      <w:pPr>
        <w:pStyle w:val="9"/>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bCs/>
          <w:color w:val="FF0000"/>
          <w:kern w:val="2"/>
          <w:sz w:val="28"/>
          <w:szCs w:val="28"/>
          <w:lang w:val="en-US" w:eastAsia="zh-CN" w:bidi="ar-SA"/>
        </w:rPr>
      </w:pPr>
      <w:r>
        <w:rPr>
          <w:rFonts w:hint="eastAsia" w:ascii="仿宋_GB2312" w:hAnsi="仿宋_GB2312" w:eastAsia="仿宋_GB2312" w:cs="仿宋_GB2312"/>
          <w:color w:val="FF0000"/>
          <w:kern w:val="2"/>
          <w:sz w:val="28"/>
          <w:szCs w:val="28"/>
          <w:lang w:val="en-US" w:eastAsia="zh-CN" w:bidi="ar-SA"/>
        </w:rPr>
        <w:t>3.其他：</w:t>
      </w:r>
    </w:p>
    <w:p w14:paraId="575FBC88">
      <w:pPr>
        <w:pStyle w:val="9"/>
        <w:keepNext w:val="0"/>
        <w:keepLines w:val="0"/>
        <w:pageBreakBefore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六、资金支付方式、条件和时间</w:t>
      </w:r>
    </w:p>
    <w:p w14:paraId="19C329DE">
      <w:pPr>
        <w:pStyle w:val="10"/>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560" w:firstLineChars="200"/>
        <w:textAlignment w:val="auto"/>
        <w:rPr>
          <w:rFonts w:hint="eastAsia"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color w:val="FF0000"/>
          <w:sz w:val="28"/>
          <w:szCs w:val="28"/>
        </w:rPr>
        <w:t>验收合格后十五日内付清合同总金额，支付方式为银行转账，</w:t>
      </w:r>
      <w:r>
        <w:rPr>
          <w:rFonts w:hint="eastAsia" w:ascii="仿宋_GB2312" w:hAnsi="仿宋_GB2312" w:eastAsia="仿宋_GB2312" w:cs="仿宋_GB2312"/>
          <w:color w:val="FF0000"/>
          <w:sz w:val="28"/>
          <w:szCs w:val="28"/>
          <w:lang w:eastAsia="zh-CN"/>
        </w:rPr>
        <w:t>中标人</w:t>
      </w:r>
      <w:r>
        <w:rPr>
          <w:rFonts w:hint="eastAsia" w:ascii="仿宋_GB2312" w:hAnsi="仿宋_GB2312" w:eastAsia="仿宋_GB2312" w:cs="仿宋_GB2312"/>
          <w:color w:val="FF0000"/>
          <w:sz w:val="28"/>
          <w:szCs w:val="28"/>
        </w:rPr>
        <w:t>须提供正式的税务发票。</w:t>
      </w:r>
    </w:p>
    <w:p w14:paraId="48487257">
      <w:pPr>
        <w:pStyle w:val="9"/>
        <w:keepNext w:val="0"/>
        <w:keepLines w:val="0"/>
        <w:pageBreakBefore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七、履约保证金</w:t>
      </w:r>
    </w:p>
    <w:p w14:paraId="61ED1654">
      <w:pPr>
        <w:pStyle w:val="10"/>
        <w:numPr>
          <w:ilvl w:val="0"/>
          <w:numId w:val="0"/>
        </w:numPr>
        <w:ind w:leftChars="0"/>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color w:val="FF0000"/>
          <w:kern w:val="0"/>
          <w:sz w:val="28"/>
          <w:szCs w:val="28"/>
          <w:lang w:val="en-US" w:eastAsia="zh-CN" w:bidi="ar-SA"/>
        </w:rPr>
        <w:t xml:space="preserve">   □ 本项目不收取履约保证金。</w:t>
      </w:r>
    </w:p>
    <w:p w14:paraId="535D38FE">
      <w:pPr>
        <w:pStyle w:val="4"/>
        <w:ind w:firstLine="280" w:firstLineChars="100"/>
        <w:rPr>
          <w:rFonts w:hint="eastAsia" w:ascii="仿宋_GB2312" w:hAnsi="仿宋_GB2312" w:eastAsia="仿宋_GB2312" w:cs="仿宋_GB2312"/>
          <w:b/>
          <w:bCs/>
          <w:sz w:val="28"/>
          <w:szCs w:val="28"/>
        </w:rPr>
      </w:pPr>
      <w:r>
        <w:rPr>
          <w:rFonts w:hint="eastAsia" w:ascii="仿宋_GB2312" w:hAnsi="仿宋_GB2312" w:eastAsia="仿宋_GB2312" w:cs="仿宋_GB2312"/>
          <w:color w:val="FF0000"/>
          <w:kern w:val="0"/>
          <w:sz w:val="28"/>
          <w:szCs w:val="28"/>
          <w:lang w:val="en-US" w:eastAsia="zh-CN" w:bidi="ar-SA"/>
        </w:rPr>
        <w:t xml:space="preserve"> □ 本项目收取履约保证金，成交人须在收到中标通知书之日起五个工作日内向采购人缴纳中标金额</w:t>
      </w:r>
      <w:r>
        <w:rPr>
          <w:rFonts w:hint="eastAsia" w:ascii="仿宋_GB2312" w:hAnsi="仿宋_GB2312" w:eastAsia="仿宋_GB2312" w:cs="仿宋_GB2312"/>
          <w:color w:val="FF0000"/>
          <w:kern w:val="0"/>
          <w:sz w:val="28"/>
          <w:szCs w:val="28"/>
          <w:u w:val="single"/>
          <w:lang w:val="en-US" w:eastAsia="zh-CN" w:bidi="ar-SA"/>
        </w:rPr>
        <w:t xml:space="preserve">     %</w:t>
      </w:r>
      <w:r>
        <w:rPr>
          <w:rFonts w:hint="eastAsia" w:ascii="仿宋_GB2312" w:hAnsi="仿宋_GB2312" w:eastAsia="仿宋_GB2312" w:cs="仿宋_GB2312"/>
          <w:color w:val="FF0000"/>
          <w:kern w:val="0"/>
          <w:sz w:val="28"/>
          <w:szCs w:val="28"/>
          <w:lang w:val="en-US" w:eastAsia="zh-CN" w:bidi="ar-SA"/>
        </w:rPr>
        <w:t>的履约保证金。履约保证金可以银行转账、电汇、保函等任一方式提交（开户银行：农业银行武夷山市支行营业部；开户名称：武夷学院；银行账号：13970101040011043）。履约保证金在项目验收合格且无未了事宜后无息退还。中标方如不按规定签订合同或不按合同履行义务，履约保证金不予退还，若对采购方造成的损失超过履约保证金还应对超出部分予以赔偿。</w:t>
      </w:r>
    </w:p>
    <w:p w14:paraId="648310EB">
      <w:pPr>
        <w:pStyle w:val="9"/>
        <w:keepNext w:val="0"/>
        <w:keepLines w:val="0"/>
        <w:pageBreakBefore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八、违约责任</w:t>
      </w:r>
    </w:p>
    <w:p w14:paraId="065520FD">
      <w:pPr>
        <w:pStyle w:val="9"/>
        <w:keepNext w:val="0"/>
        <w:keepLines w:val="0"/>
        <w:pageBreakBefore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1.采购人违约责任</w:t>
      </w:r>
    </w:p>
    <w:p w14:paraId="41487996">
      <w:pPr>
        <w:pStyle w:val="9"/>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（1）采购人无正当理由拒收中标人交付的合格产品的，采购人向中标人偿付拒收货款总值</w:t>
      </w:r>
      <w:r>
        <w:rPr>
          <w:rFonts w:hint="eastAsia" w:ascii="仿宋_GB2312" w:hAnsi="仿宋_GB2312" w:eastAsia="仿宋_GB2312" w:cs="仿宋_GB2312"/>
          <w:kern w:val="2"/>
          <w:sz w:val="28"/>
          <w:szCs w:val="28"/>
          <w:u w:val="single"/>
          <w:lang w:val="en-US" w:eastAsia="zh-CN" w:bidi="ar-SA"/>
        </w:rPr>
        <w:t xml:space="preserve">     </w:t>
      </w:r>
      <w:r>
        <w:rPr>
          <w:rFonts w:hint="eastAsia" w:ascii="仿宋_GB2312" w:hAnsi="仿宋_GB2312" w:eastAsia="仿宋_GB2312" w:cs="仿宋_GB2312"/>
          <w:kern w:val="2"/>
          <w:sz w:val="28"/>
          <w:szCs w:val="28"/>
          <w:lang w:val="en-US" w:eastAsia="zh-CN" w:bidi="ar-SA"/>
        </w:rPr>
        <w:t>的违约金。</w:t>
      </w:r>
    </w:p>
    <w:p w14:paraId="481FE23F">
      <w:pPr>
        <w:pStyle w:val="9"/>
        <w:keepNext w:val="0"/>
        <w:keepLines w:val="0"/>
        <w:pageBreakBefore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（2）采购人无故逾期验收和办理合同款项支付手续的,采购人应按逾期付款总额每日</w:t>
      </w:r>
      <w:r>
        <w:rPr>
          <w:rFonts w:hint="eastAsia" w:ascii="仿宋_GB2312" w:hAnsi="仿宋_GB2312" w:eastAsia="仿宋_GB2312" w:cs="仿宋_GB2312"/>
          <w:kern w:val="2"/>
          <w:sz w:val="28"/>
          <w:szCs w:val="28"/>
          <w:u w:val="single"/>
          <w:lang w:val="en-US" w:eastAsia="zh-CN" w:bidi="ar-SA"/>
        </w:rPr>
        <w:t xml:space="preserve">      </w:t>
      </w:r>
      <w:r>
        <w:rPr>
          <w:rFonts w:hint="eastAsia" w:ascii="仿宋_GB2312" w:hAnsi="仿宋_GB2312" w:eastAsia="仿宋_GB2312" w:cs="仿宋_GB2312"/>
          <w:kern w:val="2"/>
          <w:sz w:val="28"/>
          <w:szCs w:val="28"/>
          <w:lang w:val="en-US" w:eastAsia="zh-CN" w:bidi="ar-SA"/>
        </w:rPr>
        <w:t>向中标人支付违约金。</w:t>
      </w:r>
    </w:p>
    <w:p w14:paraId="45BB8792">
      <w:pPr>
        <w:pStyle w:val="9"/>
        <w:keepNext w:val="0"/>
        <w:keepLines w:val="0"/>
        <w:pageBreakBefore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color w:val="FF0000"/>
          <w:kern w:val="2"/>
          <w:sz w:val="28"/>
          <w:szCs w:val="28"/>
          <w:u w:val="none"/>
          <w:lang w:val="en-US" w:eastAsia="zh-CN" w:bidi="ar-SA"/>
        </w:rPr>
      </w:pPr>
      <w:r>
        <w:rPr>
          <w:rFonts w:hint="eastAsia" w:ascii="仿宋_GB2312" w:hAnsi="仿宋_GB2312" w:eastAsia="仿宋_GB2312" w:cs="仿宋_GB2312"/>
          <w:color w:val="FF0000"/>
          <w:kern w:val="2"/>
          <w:sz w:val="28"/>
          <w:szCs w:val="28"/>
          <w:lang w:val="en-US" w:eastAsia="zh-CN" w:bidi="ar-SA"/>
        </w:rPr>
        <w:t>（3）其他违约情形</w:t>
      </w:r>
    </w:p>
    <w:p w14:paraId="4620986D">
      <w:pPr>
        <w:pStyle w:val="9"/>
        <w:keepNext w:val="0"/>
        <w:keepLines w:val="0"/>
        <w:pageBreakBefore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2.中标人违约责任</w:t>
      </w:r>
    </w:p>
    <w:p w14:paraId="1B260540">
      <w:pPr>
        <w:pStyle w:val="9"/>
        <w:keepNext w:val="0"/>
        <w:keepLines w:val="0"/>
        <w:pageBreakBefore w:val="0"/>
        <w:widowControl/>
        <w:kinsoku/>
        <w:wordWrap/>
        <w:overflowPunct/>
        <w:topLinePunct w:val="0"/>
        <w:autoSpaceDE/>
        <w:autoSpaceDN/>
        <w:bidi w:val="0"/>
        <w:adjustRightInd/>
        <w:snapToGrid/>
        <w:spacing w:line="520" w:lineRule="exact"/>
        <w:ind w:left="0" w:firstLine="0" w:firstLineChars="0"/>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（1）中标人逾期交货的，中标人应按逾期交付总额每日</w:t>
      </w:r>
      <w:r>
        <w:rPr>
          <w:rFonts w:hint="eastAsia" w:ascii="仿宋_GB2312" w:hAnsi="仿宋_GB2312" w:eastAsia="仿宋_GB2312" w:cs="仿宋_GB2312"/>
          <w:kern w:val="2"/>
          <w:sz w:val="28"/>
          <w:szCs w:val="28"/>
          <w:u w:val="single"/>
          <w:lang w:val="en-US" w:eastAsia="zh-CN" w:bidi="ar-SA"/>
        </w:rPr>
        <w:t xml:space="preserve">      </w:t>
      </w:r>
      <w:r>
        <w:rPr>
          <w:rFonts w:hint="eastAsia" w:ascii="仿宋_GB2312" w:hAnsi="仿宋_GB2312" w:eastAsia="仿宋_GB2312" w:cs="仿宋_GB2312"/>
          <w:kern w:val="2"/>
          <w:sz w:val="28"/>
          <w:szCs w:val="28"/>
          <w:lang w:val="en-US" w:eastAsia="zh-CN" w:bidi="ar-SA"/>
        </w:rPr>
        <w:t>向采购人支付违约金，由采购人从待付货款中扣除。中标人无正当理由逾期超过约定日期</w:t>
      </w:r>
      <w:r>
        <w:rPr>
          <w:rFonts w:hint="eastAsia" w:ascii="仿宋_GB2312" w:hAnsi="仿宋_GB2312" w:eastAsia="仿宋_GB2312" w:cs="仿宋_GB2312"/>
          <w:kern w:val="2"/>
          <w:sz w:val="28"/>
          <w:szCs w:val="28"/>
          <w:u w:val="single"/>
          <w:lang w:val="en-US" w:eastAsia="zh-CN" w:bidi="ar-SA"/>
        </w:rPr>
        <w:t xml:space="preserve">     </w:t>
      </w:r>
      <w:r>
        <w:rPr>
          <w:rFonts w:hint="eastAsia" w:ascii="仿宋_GB2312" w:hAnsi="仿宋_GB2312" w:eastAsia="仿宋_GB2312" w:cs="仿宋_GB2312"/>
          <w:kern w:val="2"/>
          <w:sz w:val="28"/>
          <w:szCs w:val="28"/>
          <w:u w:val="none"/>
          <w:lang w:val="en-US" w:eastAsia="zh-CN" w:bidi="ar-SA"/>
        </w:rPr>
        <w:t>天</w:t>
      </w:r>
      <w:r>
        <w:rPr>
          <w:rFonts w:hint="eastAsia" w:ascii="仿宋_GB2312" w:hAnsi="仿宋_GB2312" w:eastAsia="仿宋_GB2312" w:cs="仿宋_GB2312"/>
          <w:kern w:val="2"/>
          <w:sz w:val="28"/>
          <w:szCs w:val="28"/>
          <w:lang w:val="en-US" w:eastAsia="zh-CN" w:bidi="ar-SA"/>
        </w:rPr>
        <w:t>仍不能交付的，视为“中标人不按合同约定履约”；</w:t>
      </w:r>
    </w:p>
    <w:p w14:paraId="496E87B7">
      <w:pPr>
        <w:pStyle w:val="9"/>
        <w:keepNext w:val="0"/>
        <w:keepLines w:val="0"/>
        <w:pageBreakBefore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2）中标人所交付的产品不符合合同规定及《采购文件》规定标准的，采购人有权拒收，中标人愿意更换产品但逾期交货的，按中标人逾期交货处理。中标人拒绝更换产品的，视为“中标人不按合同约定履约”；</w:t>
      </w:r>
    </w:p>
    <w:p w14:paraId="6ACFDDA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default" w:ascii="仿宋_GB2312" w:hAnsi="仿宋_GB2312" w:eastAsia="仿宋_GB2312" w:cs="仿宋_GB2312"/>
          <w:color w:val="FF0000"/>
          <w:kern w:val="2"/>
          <w:sz w:val="28"/>
          <w:szCs w:val="28"/>
          <w:lang w:val="en-US" w:eastAsia="zh-CN" w:bidi="ar-SA"/>
        </w:rPr>
      </w:pPr>
      <w:r>
        <w:rPr>
          <w:rFonts w:hint="eastAsia" w:ascii="仿宋_GB2312" w:hAnsi="仿宋_GB2312" w:eastAsia="仿宋_GB2312" w:cs="仿宋_GB2312"/>
          <w:kern w:val="2"/>
          <w:sz w:val="28"/>
          <w:szCs w:val="28"/>
          <w:lang w:val="en-US" w:eastAsia="zh-CN" w:bidi="ar-SA"/>
        </w:rPr>
        <w:t>（3）中标人不按合同约定履约的，采购人可以解除采购合同，</w:t>
      </w:r>
      <w:r>
        <w:rPr>
          <w:rFonts w:hint="eastAsia" w:ascii="仿宋_GB2312" w:hAnsi="仿宋_GB2312" w:eastAsia="仿宋_GB2312" w:cs="仿宋_GB2312"/>
          <w:color w:val="FF0000"/>
          <w:kern w:val="2"/>
          <w:sz w:val="28"/>
          <w:szCs w:val="28"/>
          <w:lang w:val="en-US" w:eastAsia="zh-CN" w:bidi="ar-SA"/>
        </w:rPr>
        <w:t>且中标人还须向采购人支付</w:t>
      </w:r>
      <w:r>
        <w:rPr>
          <w:rFonts w:hint="eastAsia" w:ascii="仿宋_GB2312" w:hAnsi="仿宋_GB2312" w:eastAsia="仿宋_GB2312" w:cs="仿宋_GB2312"/>
          <w:color w:val="FF0000"/>
          <w:kern w:val="2"/>
          <w:sz w:val="28"/>
          <w:szCs w:val="28"/>
          <w:u w:val="none"/>
          <w:lang w:val="en-US" w:eastAsia="zh-CN" w:bidi="ar-SA"/>
        </w:rPr>
        <w:t>合同总金额</w:t>
      </w:r>
      <w:r>
        <w:rPr>
          <w:rFonts w:hint="eastAsia" w:ascii="仿宋_GB2312" w:hAnsi="仿宋_GB2312" w:eastAsia="仿宋_GB2312" w:cs="仿宋_GB2312"/>
          <w:color w:val="FF0000"/>
          <w:kern w:val="2"/>
          <w:sz w:val="28"/>
          <w:szCs w:val="28"/>
          <w:u w:val="single"/>
          <w:lang w:val="en-US" w:eastAsia="zh-CN" w:bidi="ar-SA"/>
        </w:rPr>
        <w:t xml:space="preserve">    %</w:t>
      </w:r>
      <w:r>
        <w:rPr>
          <w:rFonts w:hint="eastAsia" w:ascii="仿宋_GB2312" w:hAnsi="仿宋_GB2312" w:eastAsia="仿宋_GB2312" w:cs="仿宋_GB2312"/>
          <w:color w:val="FF0000"/>
          <w:kern w:val="2"/>
          <w:sz w:val="28"/>
          <w:szCs w:val="28"/>
          <w:u w:val="none"/>
          <w:lang w:val="en-US" w:eastAsia="zh-CN" w:bidi="ar-SA"/>
        </w:rPr>
        <w:t>的违约金（或</w:t>
      </w:r>
      <w:r>
        <w:rPr>
          <w:rFonts w:hint="eastAsia" w:ascii="仿宋_GB2312" w:hAnsi="仿宋_GB2312" w:eastAsia="仿宋_GB2312" w:cs="仿宋_GB2312"/>
          <w:color w:val="FF0000"/>
          <w:kern w:val="2"/>
          <w:sz w:val="28"/>
          <w:szCs w:val="28"/>
          <w:u w:val="single"/>
          <w:lang w:val="en-US" w:eastAsia="zh-CN" w:bidi="ar-SA"/>
        </w:rPr>
        <w:t xml:space="preserve">    </w:t>
      </w:r>
      <w:r>
        <w:rPr>
          <w:rFonts w:hint="eastAsia" w:ascii="仿宋_GB2312" w:hAnsi="仿宋_GB2312" w:eastAsia="仿宋_GB2312" w:cs="仿宋_GB2312"/>
          <w:color w:val="FF0000"/>
          <w:kern w:val="2"/>
          <w:sz w:val="28"/>
          <w:szCs w:val="28"/>
          <w:u w:val="none"/>
          <w:lang w:val="en-US" w:eastAsia="zh-CN" w:bidi="ar-SA"/>
        </w:rPr>
        <w:t>元的违约金）。</w:t>
      </w:r>
    </w:p>
    <w:p w14:paraId="01AEB9CA">
      <w:pPr>
        <w:pStyle w:val="9"/>
        <w:keepNext w:val="0"/>
        <w:keepLines w:val="0"/>
        <w:pageBreakBefore w:val="0"/>
        <w:numPr>
          <w:ilvl w:val="0"/>
          <w:numId w:val="2"/>
        </w:numPr>
        <w:kinsoku/>
        <w:wordWrap/>
        <w:overflowPunct/>
        <w:topLinePunct w:val="0"/>
        <w:autoSpaceDE/>
        <w:autoSpaceDN/>
        <w:bidi w:val="0"/>
        <w:adjustRightInd/>
        <w:snapToGrid/>
        <w:spacing w:line="520" w:lineRule="exact"/>
        <w:ind w:left="0" w:leftChars="0" w:firstLine="0" w:firstLineChars="0"/>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color w:val="FF0000"/>
          <w:kern w:val="2"/>
          <w:sz w:val="28"/>
          <w:szCs w:val="28"/>
          <w:lang w:val="en-US" w:eastAsia="zh-CN" w:bidi="ar-SA"/>
        </w:rPr>
        <w:t>其他违约情形</w:t>
      </w:r>
    </w:p>
    <w:p w14:paraId="5FD0F20E">
      <w:pPr>
        <w:pStyle w:val="5"/>
        <w:keepNext w:val="0"/>
        <w:keepLines w:val="0"/>
        <w:widowControl/>
        <w:suppressLineNumbers w:val="0"/>
        <w:rPr>
          <w:rFonts w:hint="eastAsia" w:ascii="宋体" w:hAnsi="宋体" w:eastAsia="宋体" w:cs="宋体"/>
          <w:sz w:val="24"/>
          <w:szCs w:val="24"/>
          <w:lang w:eastAsia="zh-CN"/>
        </w:rPr>
      </w:pPr>
      <w:bookmarkStart w:id="0" w:name="_GoBack"/>
      <w:bookmarkEnd w:id="0"/>
    </w:p>
    <w:p w14:paraId="12D4D606">
      <w:pPr>
        <w:pStyle w:val="5"/>
        <w:keepNext w:val="0"/>
        <w:keepLines w:val="0"/>
        <w:widowControl/>
        <w:suppressLineNumbers w:val="0"/>
        <w:ind w:left="0" w:firstLine="480"/>
        <w:rPr>
          <w:rFonts w:hint="default" w:ascii="宋体" w:hAnsi="宋体" w:eastAsia="宋体" w:cs="宋体"/>
          <w:b/>
          <w:bCs/>
          <w:color w:val="FF0000"/>
          <w:sz w:val="28"/>
          <w:szCs w:val="28"/>
          <w:lang w:val="en-US" w:eastAsia="zh-CN"/>
        </w:rPr>
      </w:pPr>
      <w:r>
        <w:rPr>
          <w:rFonts w:hint="eastAsia" w:ascii="宋体" w:hAnsi="宋体" w:eastAsia="宋体" w:cs="宋体"/>
          <w:color w:val="FF0000"/>
          <w:sz w:val="24"/>
          <w:szCs w:val="24"/>
          <w:lang w:eastAsia="zh-CN"/>
        </w:rPr>
        <w:t>附件</w:t>
      </w:r>
      <w:r>
        <w:rPr>
          <w:rFonts w:hint="eastAsia" w:ascii="宋体" w:hAnsi="宋体" w:eastAsia="宋体" w:cs="宋体"/>
          <w:color w:val="FF0000"/>
          <w:sz w:val="24"/>
          <w:szCs w:val="24"/>
          <w:lang w:val="en-US" w:eastAsia="zh-CN"/>
        </w:rPr>
        <w:t>1：评分办法</w:t>
      </w:r>
      <w:r>
        <w:rPr>
          <w:rFonts w:hint="eastAsia" w:ascii="宋体" w:hAnsi="宋体" w:eastAsia="宋体" w:cs="宋体"/>
          <w:b/>
          <w:bCs/>
          <w:color w:val="FF0000"/>
          <w:sz w:val="28"/>
          <w:szCs w:val="28"/>
          <w:lang w:val="en-US" w:eastAsia="zh-CN"/>
        </w:rPr>
        <w:t>（采用综合评分法需填写，其他的可直接删除附件）</w:t>
      </w:r>
    </w:p>
    <w:p w14:paraId="01ECC2C5">
      <w:pPr>
        <w:pStyle w:val="5"/>
        <w:keepNext w:val="0"/>
        <w:keepLines w:val="0"/>
        <w:widowControl/>
        <w:suppressLineNumbers w:val="0"/>
        <w:ind w:left="0" w:firstLine="480"/>
        <w:rPr>
          <w:color w:val="FF0000"/>
        </w:rPr>
      </w:pPr>
      <w:r>
        <w:rPr>
          <w:rFonts w:hint="eastAsia" w:ascii="宋体" w:hAnsi="宋体" w:eastAsia="宋体" w:cs="宋体"/>
          <w:color w:val="FF0000"/>
          <w:sz w:val="24"/>
          <w:szCs w:val="24"/>
        </w:rPr>
        <w:t>①价格项（</w:t>
      </w:r>
      <w:r>
        <w:rPr>
          <w:rFonts w:hint="default" w:ascii="Calibri" w:hAnsi="Calibri" w:eastAsia="宋体" w:cs="Calibri"/>
          <w:color w:val="FF0000"/>
          <w:sz w:val="24"/>
          <w:szCs w:val="24"/>
        </w:rPr>
        <w:t>F1</w:t>
      </w:r>
      <w:r>
        <w:rPr>
          <w:rFonts w:hint="eastAsia" w:ascii="宋体" w:hAnsi="宋体" w:eastAsia="宋体" w:cs="宋体"/>
          <w:color w:val="FF0000"/>
          <w:sz w:val="24"/>
          <w:szCs w:val="24"/>
        </w:rPr>
        <w:t>×</w:t>
      </w:r>
      <w:r>
        <w:rPr>
          <w:rFonts w:hint="default" w:ascii="Calibri" w:hAnsi="Calibri" w:eastAsia="宋体" w:cs="Calibri"/>
          <w:color w:val="FF0000"/>
          <w:sz w:val="24"/>
          <w:szCs w:val="24"/>
        </w:rPr>
        <w:t>A1</w:t>
      </w:r>
      <w:r>
        <w:rPr>
          <w:rFonts w:hint="eastAsia" w:ascii="宋体" w:hAnsi="宋体" w:eastAsia="宋体" w:cs="宋体"/>
          <w:color w:val="FF0000"/>
          <w:sz w:val="24"/>
          <w:szCs w:val="24"/>
        </w:rPr>
        <w:t>）满分为</w:t>
      </w:r>
      <w:r>
        <w:rPr>
          <w:rFonts w:hint="eastAsia" w:ascii="宋体" w:hAnsi="宋体" w:eastAsia="宋体" w:cs="宋体"/>
          <w:color w:val="FF0000"/>
          <w:sz w:val="24"/>
          <w:szCs w:val="24"/>
          <w:u w:val="single"/>
          <w:lang w:val="en-US" w:eastAsia="zh-CN"/>
        </w:rPr>
        <w:t>30%-60%</w:t>
      </w:r>
      <w:r>
        <w:rPr>
          <w:rFonts w:hint="eastAsia" w:ascii="宋体" w:hAnsi="宋体" w:eastAsia="宋体" w:cs="宋体"/>
          <w:color w:val="FF0000"/>
          <w:sz w:val="24"/>
          <w:szCs w:val="24"/>
        </w:rPr>
        <w:t>分。</w:t>
      </w:r>
    </w:p>
    <w:p w14:paraId="2F7C84DF">
      <w:pPr>
        <w:pStyle w:val="5"/>
        <w:keepNext w:val="0"/>
        <w:keepLines w:val="0"/>
        <w:widowControl/>
        <w:suppressLineNumbers w:val="0"/>
        <w:ind w:left="0" w:firstLine="480"/>
        <w:rPr>
          <w:color w:val="FF0000"/>
        </w:rPr>
      </w:pPr>
      <w:r>
        <w:rPr>
          <w:rFonts w:hint="eastAsia" w:ascii="宋体" w:hAnsi="宋体" w:eastAsia="宋体" w:cs="宋体"/>
          <w:color w:val="FF0000"/>
          <w:sz w:val="24"/>
          <w:szCs w:val="24"/>
        </w:rPr>
        <w:t>②技术项（</w:t>
      </w:r>
      <w:r>
        <w:rPr>
          <w:rFonts w:hint="default" w:ascii="Calibri" w:hAnsi="Calibri" w:eastAsia="宋体" w:cs="Calibri"/>
          <w:color w:val="FF0000"/>
          <w:sz w:val="24"/>
          <w:szCs w:val="24"/>
        </w:rPr>
        <w:t>F2</w:t>
      </w:r>
      <w:r>
        <w:rPr>
          <w:rFonts w:hint="eastAsia" w:ascii="宋体" w:hAnsi="宋体" w:eastAsia="宋体" w:cs="宋体"/>
          <w:color w:val="FF0000"/>
          <w:sz w:val="24"/>
          <w:szCs w:val="24"/>
        </w:rPr>
        <w:t>×</w:t>
      </w:r>
      <w:r>
        <w:rPr>
          <w:rFonts w:hint="default" w:ascii="Calibri" w:hAnsi="Calibri" w:eastAsia="宋体" w:cs="Calibri"/>
          <w:color w:val="FF0000"/>
          <w:sz w:val="24"/>
          <w:szCs w:val="24"/>
        </w:rPr>
        <w:t>A2</w:t>
      </w:r>
      <w:r>
        <w:rPr>
          <w:rFonts w:hint="eastAsia" w:ascii="宋体" w:hAnsi="宋体" w:eastAsia="宋体" w:cs="宋体"/>
          <w:color w:val="FF0000"/>
          <w:sz w:val="24"/>
          <w:szCs w:val="24"/>
        </w:rPr>
        <w:t>）满分为</w:t>
      </w:r>
      <w:r>
        <w:rPr>
          <w:rFonts w:hint="eastAsia" w:ascii="宋体" w:hAnsi="宋体" w:eastAsia="宋体" w:cs="宋体"/>
          <w:color w:val="FF0000"/>
          <w:sz w:val="24"/>
          <w:szCs w:val="24"/>
          <w:u w:val="single"/>
          <w:lang w:val="en-US" w:eastAsia="zh-CN"/>
        </w:rPr>
        <w:t xml:space="preserve">    </w:t>
      </w:r>
      <w:r>
        <w:rPr>
          <w:rFonts w:hint="eastAsia" w:ascii="宋体" w:hAnsi="宋体" w:eastAsia="宋体" w:cs="宋体"/>
          <w:color w:val="FF0000"/>
          <w:sz w:val="24"/>
          <w:szCs w:val="24"/>
        </w:rPr>
        <w:t>分。</w:t>
      </w:r>
    </w:p>
    <w:tbl>
      <w:tblPr>
        <w:tblStyle w:val="7"/>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60"/>
        <w:gridCol w:w="538"/>
        <w:gridCol w:w="7013"/>
      </w:tblGrid>
      <w:tr w14:paraId="54E00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760" w:type="dxa"/>
            <w:noWrap w:val="0"/>
            <w:vAlign w:val="center"/>
          </w:tcPr>
          <w:p w14:paraId="50C57FFD">
            <w:pPr>
              <w:keepNext w:val="0"/>
              <w:keepLines w:val="0"/>
              <w:widowControl/>
              <w:suppressLineNumbers w:val="0"/>
              <w:jc w:val="left"/>
              <w:rPr>
                <w:color w:val="FF0000"/>
              </w:rPr>
            </w:pPr>
            <w:r>
              <w:rPr>
                <w:rFonts w:ascii="宋体" w:hAnsi="宋体" w:eastAsia="宋体" w:cs="宋体"/>
                <w:color w:val="FF0000"/>
                <w:kern w:val="0"/>
                <w:sz w:val="24"/>
                <w:szCs w:val="24"/>
                <w:lang w:val="en-US" w:eastAsia="zh-CN" w:bidi="ar"/>
              </w:rPr>
              <w:t>评标项目</w:t>
            </w:r>
          </w:p>
        </w:tc>
        <w:tc>
          <w:tcPr>
            <w:tcW w:w="538" w:type="dxa"/>
            <w:noWrap w:val="0"/>
            <w:vAlign w:val="center"/>
          </w:tcPr>
          <w:p w14:paraId="4627C4A1">
            <w:pPr>
              <w:keepNext w:val="0"/>
              <w:keepLines w:val="0"/>
              <w:widowControl/>
              <w:suppressLineNumbers w:val="0"/>
              <w:jc w:val="left"/>
              <w:rPr>
                <w:color w:val="FF0000"/>
              </w:rPr>
            </w:pPr>
            <w:r>
              <w:rPr>
                <w:rFonts w:ascii="宋体" w:hAnsi="宋体" w:eastAsia="宋体" w:cs="宋体"/>
                <w:color w:val="FF0000"/>
                <w:kern w:val="0"/>
                <w:sz w:val="24"/>
                <w:szCs w:val="24"/>
                <w:lang w:val="en-US" w:eastAsia="zh-CN" w:bidi="ar"/>
              </w:rPr>
              <w:t>评标分值</w:t>
            </w:r>
          </w:p>
        </w:tc>
        <w:tc>
          <w:tcPr>
            <w:tcW w:w="7013" w:type="dxa"/>
            <w:noWrap w:val="0"/>
            <w:vAlign w:val="center"/>
          </w:tcPr>
          <w:p w14:paraId="77E10837">
            <w:pPr>
              <w:keepNext w:val="0"/>
              <w:keepLines w:val="0"/>
              <w:widowControl/>
              <w:suppressLineNumbers w:val="0"/>
              <w:jc w:val="left"/>
              <w:rPr>
                <w:color w:val="FF0000"/>
              </w:rPr>
            </w:pPr>
            <w:r>
              <w:rPr>
                <w:rFonts w:ascii="宋体" w:hAnsi="宋体" w:eastAsia="宋体" w:cs="宋体"/>
                <w:color w:val="FF0000"/>
                <w:kern w:val="0"/>
                <w:sz w:val="24"/>
                <w:szCs w:val="24"/>
                <w:lang w:val="en-US" w:eastAsia="zh-CN" w:bidi="ar"/>
              </w:rPr>
              <w:t>评标方法描述</w:t>
            </w:r>
          </w:p>
        </w:tc>
      </w:tr>
      <w:tr w14:paraId="7E769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14:paraId="35D73D7E">
            <w:pPr>
              <w:keepNext w:val="0"/>
              <w:keepLines w:val="0"/>
              <w:widowControl/>
              <w:suppressLineNumbers w:val="0"/>
              <w:jc w:val="left"/>
              <w:rPr>
                <w:color w:val="FF0000"/>
              </w:rPr>
            </w:pPr>
            <w:r>
              <w:rPr>
                <w:rFonts w:hint="eastAsia" w:ascii="宋体" w:hAnsi="宋体" w:eastAsia="宋体" w:cs="宋体"/>
                <w:color w:val="FF0000"/>
                <w:kern w:val="0"/>
                <w:sz w:val="24"/>
                <w:szCs w:val="24"/>
                <w:lang w:val="en-US" w:eastAsia="zh-CN" w:bidi="ar"/>
              </w:rPr>
              <w:t xml:space="preserve"> </w:t>
            </w:r>
          </w:p>
        </w:tc>
        <w:tc>
          <w:tcPr>
            <w:tcW w:w="538" w:type="dxa"/>
            <w:noWrap w:val="0"/>
            <w:vAlign w:val="center"/>
          </w:tcPr>
          <w:p w14:paraId="464B9580">
            <w:pPr>
              <w:keepNext w:val="0"/>
              <w:keepLines w:val="0"/>
              <w:widowControl/>
              <w:suppressLineNumbers w:val="0"/>
              <w:jc w:val="left"/>
              <w:rPr>
                <w:rFonts w:hint="default"/>
                <w:color w:val="FF0000"/>
                <w:lang w:val="en-US"/>
              </w:rPr>
            </w:pPr>
            <w:r>
              <w:rPr>
                <w:rFonts w:hint="eastAsia" w:ascii="宋体" w:hAnsi="宋体" w:eastAsia="宋体" w:cs="宋体"/>
                <w:color w:val="FF0000"/>
                <w:kern w:val="0"/>
                <w:sz w:val="24"/>
                <w:szCs w:val="24"/>
                <w:lang w:val="en-US" w:eastAsia="zh-CN" w:bidi="ar"/>
              </w:rPr>
              <w:t xml:space="preserve"> </w:t>
            </w:r>
          </w:p>
        </w:tc>
        <w:tc>
          <w:tcPr>
            <w:tcW w:w="0" w:type="auto"/>
            <w:noWrap w:val="0"/>
            <w:vAlign w:val="center"/>
          </w:tcPr>
          <w:p w14:paraId="7774E2D2">
            <w:pPr>
              <w:keepNext w:val="0"/>
              <w:keepLines w:val="0"/>
              <w:widowControl/>
              <w:suppressLineNumbers w:val="0"/>
              <w:jc w:val="left"/>
              <w:rPr>
                <w:color w:val="FF0000"/>
              </w:rPr>
            </w:pPr>
            <w:r>
              <w:rPr>
                <w:rFonts w:hint="eastAsia" w:ascii="宋体" w:hAnsi="宋体" w:eastAsia="宋体" w:cs="宋体"/>
                <w:color w:val="FF0000"/>
                <w:kern w:val="0"/>
                <w:sz w:val="24"/>
                <w:szCs w:val="24"/>
                <w:lang w:val="en-US" w:eastAsia="zh-CN" w:bidi="ar"/>
              </w:rPr>
              <w:t xml:space="preserve"> </w:t>
            </w:r>
          </w:p>
        </w:tc>
      </w:tr>
    </w:tbl>
    <w:p w14:paraId="763B8147">
      <w:pPr>
        <w:pStyle w:val="5"/>
        <w:keepNext w:val="0"/>
        <w:keepLines w:val="0"/>
        <w:widowControl/>
        <w:suppressLineNumbers w:val="0"/>
        <w:ind w:left="0" w:firstLine="480"/>
        <w:rPr>
          <w:color w:val="FF0000"/>
        </w:rPr>
      </w:pPr>
      <w:r>
        <w:rPr>
          <w:rFonts w:hint="eastAsia" w:ascii="宋体" w:hAnsi="宋体" w:eastAsia="宋体" w:cs="宋体"/>
          <w:color w:val="FF0000"/>
          <w:sz w:val="24"/>
          <w:szCs w:val="24"/>
        </w:rPr>
        <w:t>③商务项（</w:t>
      </w:r>
      <w:r>
        <w:rPr>
          <w:rFonts w:hint="default" w:ascii="Calibri" w:hAnsi="Calibri" w:eastAsia="宋体" w:cs="Calibri"/>
          <w:color w:val="FF0000"/>
          <w:sz w:val="24"/>
          <w:szCs w:val="24"/>
        </w:rPr>
        <w:t>F3</w:t>
      </w:r>
      <w:r>
        <w:rPr>
          <w:rFonts w:hint="eastAsia" w:ascii="宋体" w:hAnsi="宋体" w:eastAsia="宋体" w:cs="宋体"/>
          <w:color w:val="FF0000"/>
          <w:sz w:val="24"/>
          <w:szCs w:val="24"/>
        </w:rPr>
        <w:t>×</w:t>
      </w:r>
      <w:r>
        <w:rPr>
          <w:rFonts w:hint="default" w:ascii="Calibri" w:hAnsi="Calibri" w:eastAsia="宋体" w:cs="Calibri"/>
          <w:color w:val="FF0000"/>
          <w:sz w:val="24"/>
          <w:szCs w:val="24"/>
        </w:rPr>
        <w:t>A3</w:t>
      </w:r>
      <w:r>
        <w:rPr>
          <w:rFonts w:hint="eastAsia" w:ascii="宋体" w:hAnsi="宋体" w:eastAsia="宋体" w:cs="宋体"/>
          <w:color w:val="FF0000"/>
          <w:sz w:val="24"/>
          <w:szCs w:val="24"/>
        </w:rPr>
        <w:t>）满分为</w:t>
      </w:r>
      <w:r>
        <w:rPr>
          <w:rFonts w:hint="eastAsia" w:ascii="宋体" w:hAnsi="宋体" w:eastAsia="宋体" w:cs="宋体"/>
          <w:color w:val="FF0000"/>
          <w:sz w:val="24"/>
          <w:szCs w:val="24"/>
          <w:u w:val="single"/>
          <w:lang w:val="en-US" w:eastAsia="zh-CN"/>
        </w:rPr>
        <w:t xml:space="preserve">    </w:t>
      </w:r>
      <w:r>
        <w:rPr>
          <w:rFonts w:hint="eastAsia" w:ascii="宋体" w:hAnsi="宋体" w:eastAsia="宋体" w:cs="宋体"/>
          <w:color w:val="FF0000"/>
          <w:sz w:val="24"/>
          <w:szCs w:val="24"/>
        </w:rPr>
        <w:t>分。</w:t>
      </w:r>
    </w:p>
    <w:tbl>
      <w:tblPr>
        <w:tblStyle w:val="7"/>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92"/>
        <w:gridCol w:w="318"/>
        <w:gridCol w:w="7301"/>
      </w:tblGrid>
      <w:tr w14:paraId="5B919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692" w:type="dxa"/>
            <w:noWrap w:val="0"/>
            <w:vAlign w:val="center"/>
          </w:tcPr>
          <w:p w14:paraId="185D51B4">
            <w:pPr>
              <w:keepNext w:val="0"/>
              <w:keepLines w:val="0"/>
              <w:widowControl/>
              <w:suppressLineNumbers w:val="0"/>
              <w:jc w:val="left"/>
              <w:rPr>
                <w:color w:val="FF0000"/>
              </w:rPr>
            </w:pPr>
            <w:r>
              <w:rPr>
                <w:rFonts w:ascii="宋体" w:hAnsi="宋体" w:eastAsia="宋体" w:cs="宋体"/>
                <w:color w:val="FF0000"/>
                <w:kern w:val="0"/>
                <w:sz w:val="24"/>
                <w:szCs w:val="24"/>
                <w:lang w:val="en-US" w:eastAsia="zh-CN" w:bidi="ar"/>
              </w:rPr>
              <w:t>评标项目</w:t>
            </w:r>
          </w:p>
        </w:tc>
        <w:tc>
          <w:tcPr>
            <w:tcW w:w="318" w:type="dxa"/>
            <w:noWrap w:val="0"/>
            <w:vAlign w:val="center"/>
          </w:tcPr>
          <w:p w14:paraId="5130A8F3">
            <w:pPr>
              <w:keepNext w:val="0"/>
              <w:keepLines w:val="0"/>
              <w:widowControl/>
              <w:suppressLineNumbers w:val="0"/>
              <w:jc w:val="left"/>
              <w:rPr>
                <w:color w:val="FF0000"/>
              </w:rPr>
            </w:pPr>
            <w:r>
              <w:rPr>
                <w:rFonts w:ascii="宋体" w:hAnsi="宋体" w:eastAsia="宋体" w:cs="宋体"/>
                <w:color w:val="FF0000"/>
                <w:kern w:val="0"/>
                <w:sz w:val="24"/>
                <w:szCs w:val="24"/>
                <w:lang w:val="en-US" w:eastAsia="zh-CN" w:bidi="ar"/>
              </w:rPr>
              <w:t>评标分值</w:t>
            </w:r>
          </w:p>
        </w:tc>
        <w:tc>
          <w:tcPr>
            <w:tcW w:w="7301" w:type="dxa"/>
            <w:noWrap w:val="0"/>
            <w:vAlign w:val="center"/>
          </w:tcPr>
          <w:p w14:paraId="3CA80B8B">
            <w:pPr>
              <w:keepNext w:val="0"/>
              <w:keepLines w:val="0"/>
              <w:widowControl/>
              <w:suppressLineNumbers w:val="0"/>
              <w:jc w:val="left"/>
              <w:rPr>
                <w:color w:val="FF0000"/>
              </w:rPr>
            </w:pPr>
            <w:r>
              <w:rPr>
                <w:rFonts w:ascii="宋体" w:hAnsi="宋体" w:eastAsia="宋体" w:cs="宋体"/>
                <w:color w:val="FF0000"/>
                <w:kern w:val="0"/>
                <w:sz w:val="24"/>
                <w:szCs w:val="24"/>
                <w:lang w:val="en-US" w:eastAsia="zh-CN" w:bidi="ar"/>
              </w:rPr>
              <w:t>评标方法描述</w:t>
            </w:r>
          </w:p>
        </w:tc>
      </w:tr>
      <w:tr w14:paraId="339EC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14:paraId="6DD4984D">
            <w:pPr>
              <w:keepNext w:val="0"/>
              <w:keepLines w:val="0"/>
              <w:widowControl/>
              <w:suppressLineNumbers w:val="0"/>
              <w:jc w:val="left"/>
              <w:rPr>
                <w:color w:val="FF0000"/>
              </w:rPr>
            </w:pPr>
          </w:p>
        </w:tc>
        <w:tc>
          <w:tcPr>
            <w:tcW w:w="318" w:type="dxa"/>
            <w:noWrap w:val="0"/>
            <w:vAlign w:val="center"/>
          </w:tcPr>
          <w:p w14:paraId="6F5B5314">
            <w:pPr>
              <w:keepNext w:val="0"/>
              <w:keepLines w:val="0"/>
              <w:widowControl/>
              <w:suppressLineNumbers w:val="0"/>
              <w:jc w:val="left"/>
              <w:rPr>
                <w:color w:val="FF0000"/>
              </w:rPr>
            </w:pPr>
          </w:p>
        </w:tc>
        <w:tc>
          <w:tcPr>
            <w:tcW w:w="0" w:type="auto"/>
            <w:noWrap w:val="0"/>
            <w:vAlign w:val="center"/>
          </w:tcPr>
          <w:p w14:paraId="2C497435">
            <w:pPr>
              <w:keepNext w:val="0"/>
              <w:keepLines w:val="0"/>
              <w:widowControl/>
              <w:suppressLineNumbers w:val="0"/>
              <w:jc w:val="left"/>
              <w:rPr>
                <w:color w:val="FF0000"/>
              </w:rPr>
            </w:pPr>
          </w:p>
        </w:tc>
      </w:tr>
    </w:tbl>
    <w:p w14:paraId="138AC3CF">
      <w:pPr>
        <w:pStyle w:val="9"/>
        <w:rPr>
          <w:rFonts w:hint="default" w:ascii="仿宋_GB2312" w:hAnsi="仿宋_GB2312" w:eastAsia="仿宋_GB2312" w:cs="仿宋_GB2312"/>
          <w:color w:val="FF0000"/>
          <w:kern w:val="2"/>
          <w:sz w:val="28"/>
          <w:szCs w:val="28"/>
          <w:lang w:val="en-US" w:eastAsia="zh-CN" w:bidi="ar-SA"/>
        </w:rPr>
      </w:pPr>
    </w:p>
    <w:p w14:paraId="43B5CD7A">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学院（部门）盖章</w:t>
      </w:r>
    </w:p>
    <w:p w14:paraId="4B5A39B1">
      <w:pPr>
        <w:rPr>
          <w:rFonts w:hint="default"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sz w:val="28"/>
          <w:szCs w:val="28"/>
        </w:rPr>
        <w:t xml:space="preserve">                                        年     月     日</w:t>
      </w:r>
      <w:r>
        <w:rPr>
          <w:rFonts w:hint="eastAsia" w:ascii="仿宋_GB2312" w:hAnsi="仿宋_GB2312" w:eastAsia="仿宋_GB2312" w:cs="仿宋_GB2312"/>
          <w:b/>
          <w:bCs/>
          <w:kern w:val="2"/>
          <w:sz w:val="28"/>
          <w:szCs w:val="28"/>
          <w:lang w:val="en-US" w:eastAsia="zh-CN" w:bidi="ar-SA"/>
        </w:rPr>
        <w:t xml:space="preserve">                            </w:t>
      </w:r>
    </w:p>
    <w:sectPr>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libri Light">
    <w:panose1 w:val="020F0302020204030204"/>
    <w:charset w:val="00"/>
    <w:family w:val="auto"/>
    <w:pitch w:val="default"/>
    <w:sig w:usb0="A00002EF" w:usb1="4000207B"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8AD026"/>
    <w:multiLevelType w:val="singleLevel"/>
    <w:tmpl w:val="918AD026"/>
    <w:lvl w:ilvl="0" w:tentative="0">
      <w:start w:val="4"/>
      <w:numFmt w:val="decimal"/>
      <w:suff w:val="nothing"/>
      <w:lvlText w:val="（%1）"/>
      <w:lvlJc w:val="left"/>
      <w:rPr>
        <w:rFonts w:hint="default"/>
        <w:color w:val="FF0000"/>
      </w:rPr>
    </w:lvl>
  </w:abstractNum>
  <w:abstractNum w:abstractNumId="1">
    <w:nsid w:val="29CA6522"/>
    <w:multiLevelType w:val="multilevel"/>
    <w:tmpl w:val="29CA6522"/>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0M2M3ZTU4YTdiZTE5MzViMjlkZTJhNGVlZDQxMjgifQ=="/>
  </w:docVars>
  <w:rsids>
    <w:rsidRoot w:val="220C7F8F"/>
    <w:rsid w:val="01BC1D15"/>
    <w:rsid w:val="01DB1E2F"/>
    <w:rsid w:val="09C6146A"/>
    <w:rsid w:val="0A7C0AE3"/>
    <w:rsid w:val="0C8E2094"/>
    <w:rsid w:val="10413BC8"/>
    <w:rsid w:val="10B92C9E"/>
    <w:rsid w:val="12357CFB"/>
    <w:rsid w:val="1A897256"/>
    <w:rsid w:val="1B6B7AB7"/>
    <w:rsid w:val="1C42380A"/>
    <w:rsid w:val="220C7F8F"/>
    <w:rsid w:val="231B1A67"/>
    <w:rsid w:val="253658AD"/>
    <w:rsid w:val="2AA61015"/>
    <w:rsid w:val="2C7A3008"/>
    <w:rsid w:val="2DC406B9"/>
    <w:rsid w:val="2FA23C5C"/>
    <w:rsid w:val="32501F42"/>
    <w:rsid w:val="360C16BF"/>
    <w:rsid w:val="376F777C"/>
    <w:rsid w:val="37D93CC2"/>
    <w:rsid w:val="38EE71CF"/>
    <w:rsid w:val="3D6B4D0A"/>
    <w:rsid w:val="4074166E"/>
    <w:rsid w:val="472F123F"/>
    <w:rsid w:val="48C26CC5"/>
    <w:rsid w:val="4D4323E1"/>
    <w:rsid w:val="4D432FB0"/>
    <w:rsid w:val="4EF23509"/>
    <w:rsid w:val="5688387E"/>
    <w:rsid w:val="57082ADD"/>
    <w:rsid w:val="5A5D758C"/>
    <w:rsid w:val="5E2E51DF"/>
    <w:rsid w:val="5F273F72"/>
    <w:rsid w:val="617A1CAB"/>
    <w:rsid w:val="64EE258A"/>
    <w:rsid w:val="65DF3361"/>
    <w:rsid w:val="67925AE4"/>
    <w:rsid w:val="76CE3839"/>
    <w:rsid w:val="79DE426B"/>
    <w:rsid w:val="7ADD1942"/>
    <w:rsid w:val="7BCE3DCB"/>
    <w:rsid w:val="7C7D321B"/>
    <w:rsid w:val="7EBA12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rPr>
      <w:kern w:val="0"/>
      <w:sz w:val="20"/>
    </w:rPr>
  </w:style>
  <w:style w:type="paragraph" w:styleId="4">
    <w:name w:val="annotation text"/>
    <w:basedOn w:val="1"/>
    <w:qFormat/>
    <w:uiPriority w:val="0"/>
    <w:pPr>
      <w:jc w:val="left"/>
    </w:p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2"/>
    <w:basedOn w:val="1"/>
    <w:next w:val="1"/>
    <w:qFormat/>
    <w:uiPriority w:val="0"/>
    <w:pPr>
      <w:spacing w:line="400" w:lineRule="exact"/>
      <w:ind w:firstLine="480" w:firstLineChars="200"/>
    </w:pPr>
    <w:rPr>
      <w:szCs w:val="24"/>
    </w:rPr>
  </w:style>
  <w:style w:type="paragraph" w:customStyle="1" w:styleId="9">
    <w:name w:val="null3"/>
    <w:hidden/>
    <w:qFormat/>
    <w:uiPriority w:val="0"/>
    <w:rPr>
      <w:rFonts w:hint="eastAsia" w:asciiTheme="minorHAnsi" w:hAnsiTheme="minorHAnsi" w:eastAsiaTheme="minorEastAsia" w:cstheme="minorBidi"/>
      <w:lang w:val="en-US" w:eastAsia="zh-Hans" w:bidi="ar-SA"/>
    </w:rPr>
  </w:style>
  <w:style w:type="paragraph" w:styleId="10">
    <w:name w:val="List Paragraph"/>
    <w:basedOn w:val="1"/>
    <w:qFormat/>
    <w:uiPriority w:val="34"/>
    <w:pPr>
      <w:ind w:firstLine="420" w:firstLineChars="200"/>
    </w:pPr>
  </w:style>
  <w:style w:type="paragraph" w:customStyle="1" w:styleId="11">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0F471249DDA849E68E3175F9A42B0ABA_13</vt:lpwstr>
  </property>
  <property fmtid="{D5CDD505-2E9C-101B-9397-08002B2CF9AE}" pid="4" name="KSOTemplateDocerSaveRecord">
    <vt:lpwstr>eyJoZGlkIjoiNGQ0M2M3ZTU4YTdiZTE5MzViMjlkZTJhNGVlZDQxMjgifQ==</vt:lpwstr>
  </property>
</Properties>
</file>